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12C36" w14:textId="77777777" w:rsidR="00571975" w:rsidRDefault="000C1414">
      <w:pPr>
        <w:spacing w:after="73" w:line="259" w:lineRule="auto"/>
        <w:ind w:left="14" w:firstLine="0"/>
        <w:jc w:val="center"/>
      </w:pPr>
      <w:r>
        <w:rPr>
          <w:rFonts w:cs="Arial"/>
          <w:b/>
          <w:sz w:val="32"/>
        </w:rPr>
        <w:t>TRUST AGREEMENT</w:t>
      </w:r>
      <w:r>
        <w:rPr>
          <w:rFonts w:cs="Arial"/>
        </w:rPr>
        <w:t xml:space="preserve"> </w:t>
      </w:r>
    </w:p>
    <w:p w14:paraId="2E79E105" w14:textId="77777777" w:rsidR="00571975" w:rsidRDefault="000C1414">
      <w:pPr>
        <w:spacing w:after="837" w:line="259" w:lineRule="auto"/>
        <w:ind w:left="18" w:firstLine="0"/>
        <w:jc w:val="center"/>
      </w:pPr>
      <w:r>
        <w:t>LegacyVault Partners</w:t>
      </w:r>
      <w:r>
        <w:rPr>
          <w:rFonts w:cs="Arial"/>
        </w:rPr>
        <w:t xml:space="preserve"> </w:t>
      </w:r>
    </w:p>
    <w:p w14:paraId="6014E9CA" w14:textId="75B8E08A" w:rsidR="00BD04AC" w:rsidRPr="00F21D17" w:rsidRDefault="00BD04AC" w:rsidP="00F21D17">
      <w:pPr>
        <w:pStyle w:val="p1"/>
        <w:divId w:val="674453054"/>
        <w:rPr>
          <w:sz w:val="24"/>
          <w:szCs w:val="24"/>
        </w:rPr>
      </w:pPr>
      <w:r w:rsidRPr="00F21D17">
        <w:rPr>
          <w:sz w:val="24"/>
          <w:szCs w:val="24"/>
        </w:rPr>
        <w:t xml:space="preserve">This Trust Agreement ("Agreement") is made effective as of May 1, 2023, by and between LegacyVault Partners, a registered financial institution ("Trustee"), and </w:t>
      </w:r>
      <w:r w:rsidR="00746C9C">
        <w:rPr>
          <w:sz w:val="24"/>
          <w:szCs w:val="24"/>
        </w:rPr>
        <w:t>Vick</w:t>
      </w:r>
      <w:r w:rsidR="003A7D4C">
        <w:rPr>
          <w:sz w:val="24"/>
          <w:szCs w:val="24"/>
        </w:rPr>
        <w:t>y Bloom,</w:t>
      </w:r>
      <w:r w:rsidRPr="00F21D17">
        <w:rPr>
          <w:sz w:val="24"/>
          <w:szCs w:val="24"/>
        </w:rPr>
        <w:t xml:space="preserve"> residing at </w:t>
      </w:r>
      <w:r w:rsidR="00B06A62" w:rsidRPr="00B06A62">
        <w:rPr>
          <w:rStyle w:val="s1"/>
          <w:sz w:val="24"/>
          <w:szCs w:val="24"/>
        </w:rPr>
        <w:t>128-19 Newport Avenue</w:t>
      </w:r>
      <w:r w:rsidR="0030390B">
        <w:rPr>
          <w:rStyle w:val="s1"/>
          <w:sz w:val="24"/>
          <w:szCs w:val="24"/>
        </w:rPr>
        <w:t>,</w:t>
      </w:r>
      <w:r w:rsidR="00B06A62" w:rsidRPr="00B06A62">
        <w:rPr>
          <w:rStyle w:val="s1"/>
          <w:sz w:val="24"/>
          <w:szCs w:val="24"/>
        </w:rPr>
        <w:t>Belle harbor</w:t>
      </w:r>
      <w:r w:rsidR="0030390B">
        <w:rPr>
          <w:rStyle w:val="s1"/>
          <w:sz w:val="24"/>
          <w:szCs w:val="24"/>
        </w:rPr>
        <w:t xml:space="preserve"> </w:t>
      </w:r>
      <w:r w:rsidR="00B06A62" w:rsidRPr="00B06A62">
        <w:rPr>
          <w:rStyle w:val="s1"/>
          <w:sz w:val="24"/>
          <w:szCs w:val="24"/>
        </w:rPr>
        <w:t>NY 11694</w:t>
      </w:r>
      <w:r w:rsidRPr="00F21D17">
        <w:rPr>
          <w:sz w:val="24"/>
          <w:szCs w:val="24"/>
        </w:rPr>
        <w:t xml:space="preserve"> ("Beneficiary").</w:t>
      </w:r>
    </w:p>
    <w:p w14:paraId="1D59E545" w14:textId="77777777" w:rsidR="00BD04AC" w:rsidRPr="00F21D17" w:rsidRDefault="00BD04AC" w:rsidP="00BD04AC">
      <w:pPr>
        <w:spacing w:after="568" w:line="494" w:lineRule="auto"/>
        <w:ind w:left="10"/>
        <w:rPr>
          <w:szCs w:val="24"/>
        </w:rPr>
      </w:pPr>
    </w:p>
    <w:p w14:paraId="629AF2E7" w14:textId="6D656C3F" w:rsidR="00FF00E2" w:rsidRPr="00FF00E2" w:rsidRDefault="00BD04AC" w:rsidP="00FF00E2">
      <w:pPr>
        <w:pStyle w:val="ListParagraph"/>
        <w:numPr>
          <w:ilvl w:val="0"/>
          <w:numId w:val="6"/>
        </w:numPr>
        <w:spacing w:after="568" w:line="494" w:lineRule="auto"/>
        <w:rPr>
          <w:b/>
          <w:bCs/>
        </w:rPr>
      </w:pPr>
      <w:r w:rsidRPr="00FF00E2">
        <w:rPr>
          <w:b/>
          <w:bCs/>
        </w:rPr>
        <w:t>ESTABLISHMENT OF TRUST</w:t>
      </w:r>
    </w:p>
    <w:p w14:paraId="22011C6A" w14:textId="671181B9" w:rsidR="00BD04AC" w:rsidRDefault="00BD04AC" w:rsidP="00FF00E2">
      <w:pPr>
        <w:pStyle w:val="ListParagraph"/>
        <w:spacing w:after="568" w:line="494" w:lineRule="auto"/>
        <w:ind w:firstLine="0"/>
      </w:pPr>
      <w:r>
        <w:t xml:space="preserve">The Trustee hereby establishes a trust ("Trust") for the benefit of the Beneficiary, consisting of an inheritance in the amount of $644,780.00 ("Trust Fund"), received from the </w:t>
      </w:r>
      <w:r w:rsidR="005B13AF">
        <w:t xml:space="preserve">asset </w:t>
      </w:r>
      <w:r>
        <w:t xml:space="preserve">of </w:t>
      </w:r>
      <w:r w:rsidR="00300501" w:rsidRPr="00300501">
        <w:t xml:space="preserve">Patrick </w:t>
      </w:r>
      <w:r w:rsidR="000C1414">
        <w:t>P</w:t>
      </w:r>
      <w:r w:rsidR="00300501" w:rsidRPr="00300501">
        <w:t xml:space="preserve">ina </w:t>
      </w:r>
      <w:proofErr w:type="spellStart"/>
      <w:r w:rsidR="000C1414">
        <w:t>Bl</w:t>
      </w:r>
      <w:r w:rsidR="00300501" w:rsidRPr="00300501">
        <w:t>loom</w:t>
      </w:r>
      <w:proofErr w:type="spellEnd"/>
      <w:r>
        <w:t>.</w:t>
      </w:r>
    </w:p>
    <w:p w14:paraId="1FABC223" w14:textId="77777777" w:rsidR="00BD04AC" w:rsidRDefault="00BD04AC" w:rsidP="00BD04AC">
      <w:pPr>
        <w:spacing w:after="568" w:line="494" w:lineRule="auto"/>
        <w:ind w:left="10"/>
      </w:pPr>
    </w:p>
    <w:p w14:paraId="4C38E852" w14:textId="3E35675C" w:rsidR="00FF00E2" w:rsidRPr="00FF00E2" w:rsidRDefault="00BD04AC" w:rsidP="00FF00E2">
      <w:pPr>
        <w:pStyle w:val="ListParagraph"/>
        <w:numPr>
          <w:ilvl w:val="0"/>
          <w:numId w:val="6"/>
        </w:numPr>
        <w:spacing w:after="568" w:line="494" w:lineRule="auto"/>
        <w:rPr>
          <w:b/>
          <w:bCs/>
        </w:rPr>
      </w:pPr>
      <w:r w:rsidRPr="00FF00E2">
        <w:rPr>
          <w:b/>
          <w:bCs/>
        </w:rPr>
        <w:t>PURPOSE OF TRUST</w:t>
      </w:r>
    </w:p>
    <w:p w14:paraId="0577BB85" w14:textId="5749FB42" w:rsidR="00BD04AC" w:rsidRDefault="00BD04AC" w:rsidP="00FF00E2">
      <w:pPr>
        <w:pStyle w:val="ListParagraph"/>
        <w:spacing w:after="568" w:line="494" w:lineRule="auto"/>
        <w:ind w:firstLine="0"/>
      </w:pPr>
      <w:r>
        <w:t>The purpose of this Trust is to manage and distribute the Trust Fund to the Beneficiary in accordance with the terms herein, ensuring compliance with all applicable legal and regulatory requirements.</w:t>
      </w:r>
    </w:p>
    <w:p w14:paraId="5D6185ED" w14:textId="77777777" w:rsidR="00BD04AC" w:rsidRDefault="00BD04AC" w:rsidP="00BD04AC">
      <w:pPr>
        <w:spacing w:after="568" w:line="494" w:lineRule="auto"/>
        <w:ind w:left="10"/>
      </w:pPr>
    </w:p>
    <w:p w14:paraId="7C90D4F9" w14:textId="5B4748E5" w:rsidR="00FF00E2" w:rsidRDefault="00BD04AC" w:rsidP="00FF00E2">
      <w:pPr>
        <w:pStyle w:val="ListParagraph"/>
        <w:numPr>
          <w:ilvl w:val="0"/>
          <w:numId w:val="6"/>
        </w:numPr>
        <w:spacing w:after="568" w:line="494" w:lineRule="auto"/>
      </w:pPr>
      <w:r w:rsidRPr="00FF00E2">
        <w:rPr>
          <w:b/>
          <w:bCs/>
        </w:rPr>
        <w:t>TRUST ADMINISTRATION FEE</w:t>
      </w:r>
      <w:r>
        <w:t>S</w:t>
      </w:r>
    </w:p>
    <w:p w14:paraId="37E8211D" w14:textId="3E0262B0" w:rsidR="00BD04AC" w:rsidRDefault="00BD04AC" w:rsidP="00FF00E2">
      <w:pPr>
        <w:spacing w:after="568" w:line="494" w:lineRule="auto"/>
        <w:ind w:left="18" w:firstLine="0"/>
      </w:pPr>
      <w:r>
        <w:t>A processing fee of $10,000.00 is required to cover legal processing, taxes, and international transfer fees ("Administration Fees"). These fees must be paid by the Beneficiary separately and cannot be deducted from the Trust Fund due to regulatory restrictions.</w:t>
      </w:r>
    </w:p>
    <w:p w14:paraId="5F4B3A2A" w14:textId="77777777" w:rsidR="00BD04AC" w:rsidRDefault="00BD04AC" w:rsidP="00BD04AC">
      <w:pPr>
        <w:spacing w:after="568" w:line="494" w:lineRule="auto"/>
        <w:ind w:left="10"/>
      </w:pPr>
    </w:p>
    <w:p w14:paraId="3B5CF80E" w14:textId="78A5047A" w:rsidR="00FF00E2" w:rsidRPr="00FF00E2" w:rsidRDefault="00BD04AC" w:rsidP="00FF00E2">
      <w:pPr>
        <w:pStyle w:val="ListParagraph"/>
        <w:numPr>
          <w:ilvl w:val="0"/>
          <w:numId w:val="6"/>
        </w:numPr>
        <w:spacing w:after="568" w:line="494" w:lineRule="auto"/>
        <w:rPr>
          <w:b/>
          <w:bCs/>
        </w:rPr>
      </w:pPr>
      <w:r w:rsidRPr="00FF00E2">
        <w:rPr>
          <w:b/>
          <w:bCs/>
        </w:rPr>
        <w:t>DISTRIBUTION OF TRUST FUND</w:t>
      </w:r>
    </w:p>
    <w:p w14:paraId="6BC9FBB7" w14:textId="7FB41A2C" w:rsidR="00BD04AC" w:rsidRPr="00FF00E2" w:rsidRDefault="00BD04AC" w:rsidP="00FF00E2">
      <w:pPr>
        <w:pStyle w:val="ListParagraph"/>
        <w:spacing w:after="568" w:line="494" w:lineRule="auto"/>
        <w:ind w:firstLine="0"/>
        <w:rPr>
          <w:b/>
          <w:bCs/>
        </w:rPr>
      </w:pPr>
      <w:r>
        <w:t>Upon payment of the Administration Fees, the Trustee shall release the Trust Fund to the Beneficiary via wire transfer to the Beneficiary's designated bank account. Distribution is subject to verification of payment and compliance with SEC and FINRA regulations.</w:t>
      </w:r>
    </w:p>
    <w:p w14:paraId="3ECA8EF2" w14:textId="77777777" w:rsidR="00BD04AC" w:rsidRDefault="00BD04AC" w:rsidP="00BD04AC">
      <w:pPr>
        <w:spacing w:after="568" w:line="494" w:lineRule="auto"/>
        <w:ind w:left="10"/>
      </w:pPr>
    </w:p>
    <w:p w14:paraId="07024626" w14:textId="7D49CF02" w:rsidR="00FF00E2" w:rsidRDefault="00BD04AC" w:rsidP="00FF00E2">
      <w:pPr>
        <w:pStyle w:val="ListParagraph"/>
        <w:numPr>
          <w:ilvl w:val="0"/>
          <w:numId w:val="6"/>
        </w:numPr>
        <w:spacing w:after="568" w:line="494" w:lineRule="auto"/>
      </w:pPr>
      <w:r w:rsidRPr="00FF00E2">
        <w:rPr>
          <w:b/>
          <w:bCs/>
        </w:rPr>
        <w:t>TRUSTEE RESPONSIBILITIES</w:t>
      </w:r>
    </w:p>
    <w:p w14:paraId="0FAA8ABD" w14:textId="4F72ED31" w:rsidR="00BD04AC" w:rsidRDefault="00BD04AC" w:rsidP="00FF00E2">
      <w:pPr>
        <w:pStyle w:val="ListParagraph"/>
        <w:spacing w:after="568" w:line="494" w:lineRule="auto"/>
        <w:ind w:firstLine="0"/>
      </w:pPr>
      <w:r>
        <w:t>The Trustee shall:</w:t>
      </w:r>
    </w:p>
    <w:p w14:paraId="6012F73C" w14:textId="77777777" w:rsidR="00043999" w:rsidRDefault="00BD04AC" w:rsidP="00043999">
      <w:pPr>
        <w:spacing w:after="568" w:line="494" w:lineRule="auto"/>
        <w:ind w:left="10"/>
      </w:pPr>
      <w:r>
        <w:t>- Manage the Trust Fund with care and diligence.</w:t>
      </w:r>
    </w:p>
    <w:p w14:paraId="3A3E1D0B" w14:textId="2FB223C5" w:rsidR="00BD04AC" w:rsidRDefault="00BD04AC" w:rsidP="00043999">
      <w:pPr>
        <w:spacing w:after="568" w:line="494" w:lineRule="auto"/>
        <w:ind w:left="10"/>
      </w:pPr>
      <w:r>
        <w:t>- Ensure compliance with all legal and regulatory requirements.</w:t>
      </w:r>
    </w:p>
    <w:p w14:paraId="7BED0349" w14:textId="77777777" w:rsidR="00BD04AC" w:rsidRDefault="00BD04AC" w:rsidP="00BD04AC">
      <w:pPr>
        <w:spacing w:after="568" w:line="494" w:lineRule="auto"/>
        <w:ind w:left="10"/>
      </w:pPr>
      <w:r>
        <w:t>- Provide the Beneficiary with access to trust documentation and account details.</w:t>
      </w:r>
    </w:p>
    <w:p w14:paraId="4EA414FC" w14:textId="77777777" w:rsidR="00BD04AC" w:rsidRDefault="00BD04AC" w:rsidP="00BD04AC">
      <w:pPr>
        <w:spacing w:after="568" w:line="494" w:lineRule="auto"/>
        <w:ind w:left="10"/>
      </w:pPr>
    </w:p>
    <w:p w14:paraId="1BC39748" w14:textId="398F781A" w:rsidR="00043999" w:rsidRDefault="00BD04AC" w:rsidP="00043999">
      <w:pPr>
        <w:pStyle w:val="ListParagraph"/>
        <w:numPr>
          <w:ilvl w:val="0"/>
          <w:numId w:val="6"/>
        </w:numPr>
        <w:spacing w:after="568" w:line="494" w:lineRule="auto"/>
      </w:pPr>
      <w:r w:rsidRPr="00043999">
        <w:rPr>
          <w:b/>
          <w:bCs/>
        </w:rPr>
        <w:t>BENEFICIARY RESPONSIBILITIES</w:t>
      </w:r>
    </w:p>
    <w:p w14:paraId="4D0868C6" w14:textId="6987DA03" w:rsidR="00BD04AC" w:rsidRDefault="00BD04AC" w:rsidP="00043999">
      <w:pPr>
        <w:pStyle w:val="ListParagraph"/>
        <w:spacing w:after="568" w:line="494" w:lineRule="auto"/>
        <w:ind w:firstLine="0"/>
      </w:pPr>
      <w:r>
        <w:t>The Beneficiary shall:</w:t>
      </w:r>
    </w:p>
    <w:p w14:paraId="56A85E1A" w14:textId="77777777" w:rsidR="00BD04AC" w:rsidRDefault="00BD04AC" w:rsidP="00BD04AC">
      <w:pPr>
        <w:spacing w:after="568" w:line="494" w:lineRule="auto"/>
        <w:ind w:left="10"/>
      </w:pPr>
      <w:r>
        <w:t>- Pay the Administration Fees promptly.</w:t>
      </w:r>
    </w:p>
    <w:p w14:paraId="142EF40C" w14:textId="77777777" w:rsidR="00BD04AC" w:rsidRDefault="00BD04AC" w:rsidP="00BD04AC">
      <w:pPr>
        <w:spacing w:after="568" w:line="494" w:lineRule="auto"/>
        <w:ind w:left="10"/>
      </w:pPr>
      <w:r>
        <w:lastRenderedPageBreak/>
        <w:t>- Provide accurate bank details for distribution.</w:t>
      </w:r>
    </w:p>
    <w:p w14:paraId="685539B6" w14:textId="77777777" w:rsidR="00BD04AC" w:rsidRDefault="00BD04AC" w:rsidP="00BD04AC">
      <w:pPr>
        <w:spacing w:after="568" w:line="494" w:lineRule="auto"/>
        <w:ind w:left="10"/>
      </w:pPr>
      <w:r>
        <w:t>- Comply with all terms of this Agreement.</w:t>
      </w:r>
    </w:p>
    <w:p w14:paraId="2893F4A7" w14:textId="77777777" w:rsidR="00BD04AC" w:rsidRDefault="00BD04AC" w:rsidP="00BD04AC">
      <w:pPr>
        <w:spacing w:after="568" w:line="494" w:lineRule="auto"/>
        <w:ind w:left="10"/>
      </w:pPr>
    </w:p>
    <w:p w14:paraId="199B0CAF" w14:textId="6C424B72" w:rsidR="00043999" w:rsidRPr="00043999" w:rsidRDefault="00BD04AC" w:rsidP="00043999">
      <w:pPr>
        <w:pStyle w:val="ListParagraph"/>
        <w:numPr>
          <w:ilvl w:val="0"/>
          <w:numId w:val="6"/>
        </w:numPr>
        <w:spacing w:after="568" w:line="494" w:lineRule="auto"/>
        <w:rPr>
          <w:b/>
          <w:bCs/>
        </w:rPr>
      </w:pPr>
      <w:r w:rsidRPr="00043999">
        <w:rPr>
          <w:b/>
          <w:bCs/>
        </w:rPr>
        <w:t>GOVERNING LAW</w:t>
      </w:r>
    </w:p>
    <w:p w14:paraId="384399FD" w14:textId="7EE10573" w:rsidR="00BD04AC" w:rsidRPr="00043999" w:rsidRDefault="00BD04AC" w:rsidP="00043999">
      <w:pPr>
        <w:pStyle w:val="ListParagraph"/>
        <w:spacing w:after="568" w:line="494" w:lineRule="auto"/>
        <w:ind w:firstLine="0"/>
        <w:rPr>
          <w:b/>
          <w:bCs/>
        </w:rPr>
      </w:pPr>
      <w:r>
        <w:t>This Agreement shall be governed by the laws of the State of California, United States.</w:t>
      </w:r>
    </w:p>
    <w:p w14:paraId="14775229" w14:textId="77777777" w:rsidR="00BD04AC" w:rsidRDefault="00BD04AC" w:rsidP="00BD04AC">
      <w:pPr>
        <w:spacing w:after="568" w:line="494" w:lineRule="auto"/>
        <w:ind w:left="10"/>
      </w:pPr>
    </w:p>
    <w:p w14:paraId="40979ACE" w14:textId="77777777" w:rsidR="00BD04AC" w:rsidRPr="00043999" w:rsidRDefault="00BD04AC" w:rsidP="00BD04AC">
      <w:pPr>
        <w:spacing w:after="568" w:line="494" w:lineRule="auto"/>
        <w:ind w:left="10"/>
        <w:rPr>
          <w:b/>
          <w:bCs/>
        </w:rPr>
      </w:pPr>
      <w:r>
        <w:t xml:space="preserve">8. </w:t>
      </w:r>
      <w:r w:rsidRPr="00043999">
        <w:rPr>
          <w:b/>
          <w:bCs/>
        </w:rPr>
        <w:t>CONTACT INFORMATION</w:t>
      </w:r>
    </w:p>
    <w:p w14:paraId="131A9540" w14:textId="77777777" w:rsidR="00BD04AC" w:rsidRDefault="00BD04AC" w:rsidP="00BD04AC">
      <w:pPr>
        <w:spacing w:after="568" w:line="494" w:lineRule="auto"/>
        <w:ind w:left="10"/>
      </w:pPr>
      <w:r>
        <w:t>For inquiries, contact LegacyVault Partners at:</w:t>
      </w:r>
    </w:p>
    <w:p w14:paraId="7DDC6581" w14:textId="382D0A94" w:rsidR="00BD04AC" w:rsidRDefault="00BD04AC" w:rsidP="00BD04AC">
      <w:pPr>
        <w:spacing w:after="568" w:line="494" w:lineRule="auto"/>
        <w:ind w:left="10"/>
      </w:pPr>
      <w:r>
        <w:t>Email: support@legacyvaultpartners.</w:t>
      </w:r>
      <w:r w:rsidR="00043999">
        <w:t>it.</w:t>
      </w:r>
      <w:r>
        <w:t>com</w:t>
      </w:r>
    </w:p>
    <w:p w14:paraId="70378545" w14:textId="228FAA30" w:rsidR="00BD04AC" w:rsidRDefault="00BD04AC" w:rsidP="0068354E">
      <w:pPr>
        <w:spacing w:after="568" w:line="494" w:lineRule="auto"/>
        <w:ind w:left="10"/>
      </w:pPr>
      <w:r>
        <w:t>Signed this 1st day of May 2023.</w:t>
      </w:r>
    </w:p>
    <w:p w14:paraId="0513E036" w14:textId="77777777" w:rsidR="00571975" w:rsidRDefault="000C1414">
      <w:pPr>
        <w:ind w:left="10"/>
      </w:pPr>
      <w:r>
        <w:t>LegacyVault Partners</w:t>
      </w:r>
      <w:r>
        <w:rPr>
          <w:rFonts w:cs="Arial"/>
        </w:rPr>
        <w:t xml:space="preserve"> </w:t>
      </w:r>
    </w:p>
    <w:p w14:paraId="668D1E94" w14:textId="77777777" w:rsidR="00571975" w:rsidRDefault="000C1414">
      <w:pPr>
        <w:spacing w:after="91"/>
        <w:ind w:left="10"/>
        <w:rPr>
          <w:rFonts w:cs="Arial"/>
        </w:rPr>
      </w:pPr>
      <w:r>
        <w:t>Trustee</w:t>
      </w:r>
      <w:r>
        <w:rPr>
          <w:rFonts w:cs="Arial"/>
        </w:rPr>
        <w:t xml:space="preserve"> </w:t>
      </w:r>
    </w:p>
    <w:p w14:paraId="2DF38556" w14:textId="77777777" w:rsidR="001823AD" w:rsidRDefault="001823AD">
      <w:pPr>
        <w:spacing w:after="91"/>
        <w:ind w:left="10"/>
        <w:rPr>
          <w:rFonts w:cs="Arial"/>
        </w:rPr>
      </w:pPr>
    </w:p>
    <w:p w14:paraId="47898FF0" w14:textId="77777777" w:rsidR="00F7689D" w:rsidRDefault="00F7689D">
      <w:pPr>
        <w:spacing w:after="91"/>
        <w:ind w:left="10"/>
        <w:rPr>
          <w:rFonts w:cs="Arial"/>
        </w:rPr>
      </w:pPr>
    </w:p>
    <w:p w14:paraId="591E61DE" w14:textId="77777777" w:rsidR="001823AD" w:rsidRDefault="001823AD" w:rsidP="00BB058C">
      <w:pPr>
        <w:ind w:left="10"/>
      </w:pPr>
      <w:r>
        <w:t>Vicky Bloom</w:t>
      </w:r>
      <w:r>
        <w:rPr>
          <w:rFonts w:cs="Arial"/>
        </w:rPr>
        <w:t xml:space="preserve"> </w:t>
      </w:r>
    </w:p>
    <w:p w14:paraId="2F1009AB" w14:textId="77777777" w:rsidR="001823AD" w:rsidRDefault="001823AD" w:rsidP="00D95E0C">
      <w:pPr>
        <w:spacing w:after="300" w:line="259" w:lineRule="auto"/>
        <w:ind w:left="0" w:firstLine="0"/>
        <w:jc w:val="left"/>
        <w:rPr>
          <w:noProof/>
        </w:rPr>
      </w:pPr>
      <w:r>
        <w:t>Beneficiary</w:t>
      </w:r>
      <w:r>
        <w:rPr>
          <w:noProof/>
        </w:rPr>
        <w:t xml:space="preserve"> </w:t>
      </w:r>
    </w:p>
    <w:p w14:paraId="1E998136" w14:textId="56E1CA05" w:rsidR="00571975" w:rsidRDefault="00DA4367" w:rsidP="00D95E0C">
      <w:pPr>
        <w:spacing w:after="300" w:line="259" w:lineRule="auto"/>
        <w:ind w:left="0" w:firstLine="0"/>
        <w:jc w:val="left"/>
      </w:pPr>
      <w:r>
        <w:rPr>
          <w:noProof/>
        </w:rPr>
        <w:lastRenderedPageBreak/>
        <w:drawing>
          <wp:inline distT="0" distB="0" distL="0" distR="0" wp14:anchorId="251C763F" wp14:editId="230417B4">
            <wp:extent cx="1840714" cy="161734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1859899" cy="1634202"/>
                    </a:xfrm>
                    <a:prstGeom prst="rect">
                      <a:avLst/>
                    </a:prstGeom>
                  </pic:spPr>
                </pic:pic>
              </a:graphicData>
            </a:graphic>
          </wp:inline>
        </w:drawing>
      </w:r>
      <w:r w:rsidR="000C1414">
        <w:rPr>
          <w:rFonts w:cs="Arial"/>
        </w:rPr>
        <w:t xml:space="preserve"> </w:t>
      </w:r>
    </w:p>
    <w:sectPr w:rsidR="00571975">
      <w:pgSz w:w="11905" w:h="16840"/>
      <w:pgMar w:top="771" w:right="621" w:bottom="1650" w:left="6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11BBB"/>
    <w:multiLevelType w:val="hybridMultilevel"/>
    <w:tmpl w:val="FFFFFFFF"/>
    <w:lvl w:ilvl="0" w:tplc="F5E4D096">
      <w:start w:val="1"/>
      <w:numFmt w:val="bullet"/>
      <w:lvlText w:val="-"/>
      <w:lvlJc w:val="left"/>
      <w:pPr>
        <w:ind w:left="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5CDD80">
      <w:start w:val="1"/>
      <w:numFmt w:val="bullet"/>
      <w:lvlText w:val="o"/>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FA215C">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584DBA">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662A5C">
      <w:start w:val="1"/>
      <w:numFmt w:val="bullet"/>
      <w:lvlText w:val="o"/>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000F02">
      <w:start w:val="1"/>
      <w:numFmt w:val="bullet"/>
      <w:lvlText w:val="▪"/>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6E1CAE">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0069CA">
      <w:start w:val="1"/>
      <w:numFmt w:val="bullet"/>
      <w:lvlText w:val="o"/>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189A48">
      <w:start w:val="1"/>
      <w:numFmt w:val="bullet"/>
      <w:lvlText w:val="▪"/>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4409BE"/>
    <w:multiLevelType w:val="hybridMultilevel"/>
    <w:tmpl w:val="FFFFFFFF"/>
    <w:lvl w:ilvl="0" w:tplc="BE44EBEA">
      <w:start w:val="1"/>
      <w:numFmt w:val="decimal"/>
      <w:lvlText w:val="%1."/>
      <w:lvlJc w:val="left"/>
      <w:pPr>
        <w:ind w:left="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3CC31A">
      <w:start w:val="1"/>
      <w:numFmt w:val="lowerLetter"/>
      <w:lvlText w:val="%2"/>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2220DC">
      <w:start w:val="1"/>
      <w:numFmt w:val="lowerRoman"/>
      <w:lvlText w:val="%3"/>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4CF08">
      <w:start w:val="1"/>
      <w:numFmt w:val="decimal"/>
      <w:lvlText w:val="%4"/>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40BE94">
      <w:start w:val="1"/>
      <w:numFmt w:val="lowerLetter"/>
      <w:lvlText w:val="%5"/>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4A1A6">
      <w:start w:val="1"/>
      <w:numFmt w:val="lowerRoman"/>
      <w:lvlText w:val="%6"/>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324A92">
      <w:start w:val="1"/>
      <w:numFmt w:val="decimal"/>
      <w:lvlText w:val="%7"/>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627340">
      <w:start w:val="1"/>
      <w:numFmt w:val="lowerLetter"/>
      <w:lvlText w:val="%8"/>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4852A4">
      <w:start w:val="1"/>
      <w:numFmt w:val="lowerRoman"/>
      <w:lvlText w:val="%9"/>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A56624"/>
    <w:multiLevelType w:val="hybridMultilevel"/>
    <w:tmpl w:val="FFFFFFFF"/>
    <w:lvl w:ilvl="0" w:tplc="96F6C6B2">
      <w:start w:val="7"/>
      <w:numFmt w:val="decimal"/>
      <w:lvlText w:val="%1."/>
      <w:lvlJc w:val="left"/>
      <w:pPr>
        <w:ind w:left="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1CDB18">
      <w:start w:val="1"/>
      <w:numFmt w:val="lowerLetter"/>
      <w:lvlText w:val="%2"/>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68361E">
      <w:start w:val="1"/>
      <w:numFmt w:val="lowerRoman"/>
      <w:lvlText w:val="%3"/>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B698AC">
      <w:start w:val="1"/>
      <w:numFmt w:val="decimal"/>
      <w:lvlText w:val="%4"/>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F224FC">
      <w:start w:val="1"/>
      <w:numFmt w:val="lowerLetter"/>
      <w:lvlText w:val="%5"/>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08089C">
      <w:start w:val="1"/>
      <w:numFmt w:val="lowerRoman"/>
      <w:lvlText w:val="%6"/>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A2FABE">
      <w:start w:val="1"/>
      <w:numFmt w:val="decimal"/>
      <w:lvlText w:val="%7"/>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784F48">
      <w:start w:val="1"/>
      <w:numFmt w:val="lowerLetter"/>
      <w:lvlText w:val="%8"/>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AC652C">
      <w:start w:val="1"/>
      <w:numFmt w:val="lowerRoman"/>
      <w:lvlText w:val="%9"/>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B07EF2"/>
    <w:multiLevelType w:val="hybridMultilevel"/>
    <w:tmpl w:val="2918C7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92E43"/>
    <w:multiLevelType w:val="hybridMultilevel"/>
    <w:tmpl w:val="FFFFFFFF"/>
    <w:lvl w:ilvl="0" w:tplc="FBFED0AE">
      <w:start w:val="1"/>
      <w:numFmt w:val="bullet"/>
      <w:lvlText w:val="-"/>
      <w:lvlJc w:val="left"/>
      <w:pPr>
        <w:ind w:left="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00282">
      <w:start w:val="1"/>
      <w:numFmt w:val="bullet"/>
      <w:lvlText w:val="o"/>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BC7000">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CE0F82">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5C4572">
      <w:start w:val="1"/>
      <w:numFmt w:val="bullet"/>
      <w:lvlText w:val="o"/>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26A64C">
      <w:start w:val="1"/>
      <w:numFmt w:val="bullet"/>
      <w:lvlText w:val="▪"/>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DEAFC4">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205418">
      <w:start w:val="1"/>
      <w:numFmt w:val="bullet"/>
      <w:lvlText w:val="o"/>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106D80">
      <w:start w:val="1"/>
      <w:numFmt w:val="bullet"/>
      <w:lvlText w:val="▪"/>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7F1588"/>
    <w:multiLevelType w:val="hybridMultilevel"/>
    <w:tmpl w:val="FFFFFFFF"/>
    <w:lvl w:ilvl="0" w:tplc="8348D1F2">
      <w:start w:val="4"/>
      <w:numFmt w:val="decimal"/>
      <w:lvlText w:val="%1."/>
      <w:lvlJc w:val="left"/>
      <w:pPr>
        <w:ind w:left="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6409A">
      <w:start w:val="1"/>
      <w:numFmt w:val="lowerLetter"/>
      <w:lvlText w:val="%2"/>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903124">
      <w:start w:val="1"/>
      <w:numFmt w:val="lowerRoman"/>
      <w:lvlText w:val="%3"/>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CA41CC">
      <w:start w:val="1"/>
      <w:numFmt w:val="decimal"/>
      <w:lvlText w:val="%4"/>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E6606">
      <w:start w:val="1"/>
      <w:numFmt w:val="lowerLetter"/>
      <w:lvlText w:val="%5"/>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4C536E">
      <w:start w:val="1"/>
      <w:numFmt w:val="lowerRoman"/>
      <w:lvlText w:val="%6"/>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366ABA">
      <w:start w:val="1"/>
      <w:numFmt w:val="decimal"/>
      <w:lvlText w:val="%7"/>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7E6962">
      <w:start w:val="1"/>
      <w:numFmt w:val="lowerLetter"/>
      <w:lvlText w:val="%8"/>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6822F4">
      <w:start w:val="1"/>
      <w:numFmt w:val="lowerRoman"/>
      <w:lvlText w:val="%9"/>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39605439">
    <w:abstractNumId w:val="1"/>
  </w:num>
  <w:num w:numId="2" w16cid:durableId="464393225">
    <w:abstractNumId w:val="5"/>
  </w:num>
  <w:num w:numId="3" w16cid:durableId="236787799">
    <w:abstractNumId w:val="0"/>
  </w:num>
  <w:num w:numId="4" w16cid:durableId="693457756">
    <w:abstractNumId w:val="4"/>
  </w:num>
  <w:num w:numId="5" w16cid:durableId="1681808826">
    <w:abstractNumId w:val="2"/>
  </w:num>
  <w:num w:numId="6" w16cid:durableId="1289122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75"/>
    <w:rsid w:val="00043999"/>
    <w:rsid w:val="000C1414"/>
    <w:rsid w:val="000F2FF2"/>
    <w:rsid w:val="001823AD"/>
    <w:rsid w:val="001F5CB0"/>
    <w:rsid w:val="002F7599"/>
    <w:rsid w:val="00300501"/>
    <w:rsid w:val="0030390B"/>
    <w:rsid w:val="003A7D4C"/>
    <w:rsid w:val="004420F5"/>
    <w:rsid w:val="00571975"/>
    <w:rsid w:val="005B13AF"/>
    <w:rsid w:val="005F4F0C"/>
    <w:rsid w:val="0068354E"/>
    <w:rsid w:val="00746C9C"/>
    <w:rsid w:val="007A5DBF"/>
    <w:rsid w:val="008903D2"/>
    <w:rsid w:val="00A96DE8"/>
    <w:rsid w:val="00B06A62"/>
    <w:rsid w:val="00BD04AC"/>
    <w:rsid w:val="00C44DAC"/>
    <w:rsid w:val="00CE1D9C"/>
    <w:rsid w:val="00D95E0C"/>
    <w:rsid w:val="00DA4367"/>
    <w:rsid w:val="00DD5407"/>
    <w:rsid w:val="00EC1860"/>
    <w:rsid w:val="00EE4A83"/>
    <w:rsid w:val="00F21D17"/>
    <w:rsid w:val="00F7689D"/>
    <w:rsid w:val="00FF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6294"/>
  <w15:docId w15:val="{B3CDF55B-CEC7-E543-8693-7F0286C0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4" w:line="265" w:lineRule="auto"/>
      <w:ind w:left="28" w:hanging="10"/>
      <w:jc w:val="both"/>
    </w:pPr>
    <w:rPr>
      <w:rFonts w:ascii="Arial" w:eastAsia="Arial" w:hAnsi="Arial" w:cs="Times New Roman"/>
      <w:color w:val="000000"/>
      <w:sz w:val="24"/>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0E2"/>
    <w:pPr>
      <w:ind w:left="720"/>
      <w:contextualSpacing/>
    </w:pPr>
  </w:style>
  <w:style w:type="paragraph" w:customStyle="1" w:styleId="p1">
    <w:name w:val="p1"/>
    <w:basedOn w:val="Normal"/>
    <w:rsid w:val="00F21D17"/>
    <w:pPr>
      <w:spacing w:after="0" w:line="240" w:lineRule="auto"/>
      <w:ind w:left="0" w:firstLine="0"/>
      <w:jc w:val="left"/>
    </w:pPr>
    <w:rPr>
      <w:rFonts w:eastAsiaTheme="minorEastAsia" w:cs="Arial"/>
      <w:kern w:val="0"/>
      <w:sz w:val="18"/>
      <w:szCs w:val="18"/>
      <w:lang w:val="en-US" w:eastAsia="en-US"/>
      <w14:ligatures w14:val="none"/>
    </w:rPr>
  </w:style>
  <w:style w:type="character" w:customStyle="1" w:styleId="s1">
    <w:name w:val="s1"/>
    <w:basedOn w:val="DefaultParagraphFont"/>
    <w:rsid w:val="00F21D17"/>
    <w:rPr>
      <w:rFonts w:ascii="Arial" w:hAnsi="Arial" w:cs="Arial"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4530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Nii</dc:creator>
  <cp:keywords/>
  <cp:lastModifiedBy>Jude Nii</cp:lastModifiedBy>
  <cp:revision>2</cp:revision>
  <dcterms:created xsi:type="dcterms:W3CDTF">2025-09-22T13:56:00Z</dcterms:created>
  <dcterms:modified xsi:type="dcterms:W3CDTF">2025-09-22T13:56:00Z</dcterms:modified>
</cp:coreProperties>
</file>